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283"/>
        <w:jc w:val="left"/>
        <w:rPr/>
      </w:pPr>
      <w:r>
        <w:rPr/>
        <w:t>浙江省人民政府办公厅关于加快推进建筑业高质量发展的若干意见（含政策解读）</w:t>
      </w:r>
    </w:p>
    <w:p>
      <w:pPr>
        <w:pStyle w:val="Heading2"/>
        <w:bidi w:val="0"/>
        <w:jc w:val="left"/>
        <w:rPr/>
      </w:pPr>
      <w:r>
        <w:rPr>
          <w:rStyle w:val="Strong"/>
          <w:bCs/>
        </w:rPr>
        <w:t>一、政策原文核心内容</w:t>
      </w:r>
    </w:p>
    <w:p>
      <w:pPr>
        <w:pStyle w:val="Heading3"/>
        <w:bidi w:val="0"/>
        <w:jc w:val="left"/>
        <w:rPr/>
      </w:pPr>
      <w:r>
        <w:rPr>
          <w:rStyle w:val="Strong"/>
          <w:bCs/>
        </w:rPr>
        <w:t>（一）总体目标</w:t>
      </w:r>
    </w:p>
    <w:p>
      <w:pPr>
        <w:pStyle w:val="BodyText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到</w:t>
      </w:r>
      <w:r>
        <w:rPr>
          <w:rStyle w:val="Strong"/>
        </w:rPr>
        <w:t>2027</w:t>
      </w:r>
      <w:r>
        <w:rPr>
          <w:rStyle w:val="Strong"/>
        </w:rPr>
        <w:t>年</w:t>
      </w:r>
      <w:r>
        <w:rPr/>
        <w:t>：</w:t>
      </w:r>
    </w:p>
    <w:p>
      <w:pPr>
        <w:pStyle w:val="BodyText"/>
        <w:numPr>
          <w:ilvl w:val="1"/>
          <w:numId w:val="1"/>
        </w:numPr>
        <w:tabs>
          <w:tab w:val="clear" w:pos="1134"/>
          <w:tab w:val="left" w:pos="1418" w:leader="none"/>
        </w:tabs>
        <w:bidi w:val="0"/>
        <w:spacing w:before="90" w:after="0"/>
        <w:ind w:hanging="283" w:left="1418"/>
        <w:jc w:val="left"/>
        <w:rPr/>
      </w:pPr>
      <w:r>
        <w:rPr/>
        <w:t xml:space="preserve">建筑业科技创新体系进一步健全，智能建造提质扩面，综合实力稳步提升。 </w:t>
      </w:r>
    </w:p>
    <w:p>
      <w:pPr>
        <w:pStyle w:val="BodyText"/>
        <w:numPr>
          <w:ilvl w:val="1"/>
          <w:numId w:val="1"/>
        </w:numPr>
        <w:tabs>
          <w:tab w:val="clear" w:pos="1134"/>
          <w:tab w:val="left" w:pos="1418" w:leader="none"/>
        </w:tabs>
        <w:bidi w:val="0"/>
        <w:spacing w:before="90" w:after="0"/>
        <w:ind w:hanging="283" w:left="1418"/>
        <w:jc w:val="left"/>
        <w:rPr/>
      </w:pPr>
      <w:r>
        <w:rPr/>
        <w:t>累计培育具有全国影响力的龙头骨干建筑业企业</w:t>
      </w:r>
      <w:r>
        <w:rPr/>
        <w:t>50</w:t>
      </w:r>
      <w:r>
        <w:rPr/>
        <w:t>家，建筑业“链主”企业</w:t>
      </w:r>
      <w:r>
        <w:rPr/>
        <w:t>20</w:t>
      </w:r>
      <w:r>
        <w:rPr/>
        <w:t>家，打造建设领域省级科创平台</w:t>
      </w:r>
      <w:r>
        <w:rPr/>
        <w:t>50</w:t>
      </w:r>
      <w:r>
        <w:rPr/>
        <w:t xml:space="preserve">个。 </w:t>
      </w:r>
    </w:p>
    <w:p>
      <w:pPr>
        <w:pStyle w:val="BodyText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到</w:t>
      </w:r>
      <w:r>
        <w:rPr>
          <w:rStyle w:val="Strong"/>
        </w:rPr>
        <w:t>2030</w:t>
      </w:r>
      <w:r>
        <w:rPr>
          <w:rStyle w:val="Strong"/>
        </w:rPr>
        <w:t>年</w:t>
      </w:r>
      <w:r>
        <w:rPr/>
        <w:t>：</w:t>
      </w:r>
    </w:p>
    <w:p>
      <w:pPr>
        <w:pStyle w:val="BodyText"/>
        <w:numPr>
          <w:ilvl w:val="1"/>
          <w:numId w:val="1"/>
        </w:numPr>
        <w:tabs>
          <w:tab w:val="clear" w:pos="1134"/>
          <w:tab w:val="left" w:pos="1418" w:leader="none"/>
        </w:tabs>
        <w:bidi w:val="0"/>
        <w:spacing w:before="90" w:after="0"/>
        <w:ind w:hanging="283" w:left="1418"/>
        <w:jc w:val="left"/>
        <w:rPr/>
      </w:pPr>
      <w:r>
        <w:rPr/>
        <w:t xml:space="preserve">全面推进以智能建造为重点的建筑业发展，企业综合实力显著增强。 </w:t>
      </w:r>
    </w:p>
    <w:p>
      <w:pPr>
        <w:pStyle w:val="BodyText"/>
        <w:numPr>
          <w:ilvl w:val="1"/>
          <w:numId w:val="1"/>
        </w:numPr>
        <w:tabs>
          <w:tab w:val="clear" w:pos="1134"/>
          <w:tab w:val="left" w:pos="1418" w:leader="none"/>
        </w:tabs>
        <w:bidi w:val="0"/>
        <w:ind w:hanging="283" w:left="1418"/>
        <w:jc w:val="left"/>
        <w:rPr/>
      </w:pPr>
      <w:r>
        <w:rPr/>
        <w:t>累计培育龙头骨干企业</w:t>
      </w:r>
      <w:r>
        <w:rPr/>
        <w:t>100</w:t>
      </w:r>
      <w:r>
        <w:rPr/>
        <w:t>家，“链主”企业</w:t>
      </w:r>
      <w:r>
        <w:rPr/>
        <w:t>50</w:t>
      </w:r>
      <w:r>
        <w:rPr/>
        <w:t>家，省级科创平台</w:t>
      </w:r>
      <w:r>
        <w:rPr/>
        <w:t>100</w:t>
      </w:r>
      <w:r>
        <w:rPr/>
        <w:t xml:space="preserve">个，建筑业高质量发展水平居全国前列。 </w:t>
      </w:r>
    </w:p>
    <w:p>
      <w:pPr>
        <w:pStyle w:val="Heading3"/>
        <w:bidi w:val="0"/>
        <w:jc w:val="left"/>
        <w:rPr/>
      </w:pPr>
      <w:r>
        <w:rPr>
          <w:rStyle w:val="Strong"/>
          <w:bCs/>
        </w:rPr>
        <w:t>（二）重点任务</w:t>
      </w:r>
    </w:p>
    <w:p>
      <w:pPr>
        <w:pStyle w:val="Heading4"/>
        <w:bidi w:val="0"/>
        <w:jc w:val="left"/>
        <w:rPr/>
      </w:pPr>
      <w:r>
        <w:rPr>
          <w:rStyle w:val="Strong"/>
          <w:b/>
          <w:bCs/>
        </w:rPr>
        <w:t xml:space="preserve">1. </w:t>
      </w:r>
      <w:r>
        <w:rPr>
          <w:rStyle w:val="Strong"/>
          <w:bCs/>
        </w:rPr>
        <w:t>产业强链推进工程</w:t>
      </w:r>
    </w:p>
    <w:p>
      <w:pPr>
        <w:pStyle w:val="BodyText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培育“链主”企业</w:t>
      </w:r>
      <w:r>
        <w:rPr/>
        <w:t xml:space="preserve">：构建全产业链协作机制，支持组建产业联合体，推动产业链创新链融合。 </w:t>
      </w:r>
    </w:p>
    <w:p>
      <w:pPr>
        <w:pStyle w:val="BodyText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构建企业梯队</w:t>
      </w:r>
      <w:r>
        <w:rPr/>
        <w:t>：实施“新雁阵”计划，每年培育特级、一级企业</w:t>
      </w:r>
      <w:r>
        <w:rPr/>
        <w:t>50</w:t>
      </w:r>
      <w:r>
        <w:rPr/>
        <w:t xml:space="preserve">家以上，对首次取得特级资质企业给予奖励。 </w:t>
      </w:r>
    </w:p>
    <w:p>
      <w:pPr>
        <w:pStyle w:val="BodyText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“</w:t>
      </w:r>
      <w:r>
        <w:rPr>
          <w:rStyle w:val="Strong"/>
        </w:rPr>
        <w:t>走出去”发展</w:t>
      </w:r>
      <w:r>
        <w:rPr/>
        <w:t xml:space="preserve">：完善省外服务联络点，拓展境外市场，支持参与援外项目，对符合条件的境外工程给予补贴。 </w:t>
      </w:r>
    </w:p>
    <w:p>
      <w:pPr>
        <w:pStyle w:val="Heading4"/>
        <w:bidi w:val="0"/>
        <w:jc w:val="left"/>
        <w:rPr/>
      </w:pPr>
      <w:r>
        <w:rPr>
          <w:rStyle w:val="Strong"/>
          <w:b/>
          <w:bCs/>
        </w:rPr>
        <w:t xml:space="preserve">2. </w:t>
      </w:r>
      <w:r>
        <w:rPr>
          <w:rStyle w:val="Strong"/>
          <w:bCs/>
        </w:rPr>
        <w:t>转型发展协同工程</w:t>
      </w:r>
    </w:p>
    <w:p>
      <w:pPr>
        <w:pStyle w:val="BodyText"/>
        <w:numPr>
          <w:ilvl w:val="0"/>
          <w:numId w:val="3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智能建造</w:t>
      </w:r>
      <w:r>
        <w:rPr/>
        <w:t xml:space="preserve">：开展智能建造提质扩面行动，培育试点企业、项目，予以信用激励。 </w:t>
      </w:r>
    </w:p>
    <w:p>
      <w:pPr>
        <w:pStyle w:val="BodyText"/>
        <w:numPr>
          <w:ilvl w:val="0"/>
          <w:numId w:val="3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建筑工业化</w:t>
      </w:r>
      <w:r>
        <w:rPr/>
        <w:t xml:space="preserve">：推广钢结构装配式建筑，鼓励新建公共建筑采用装配式建造，推进装配化装修。 </w:t>
      </w:r>
    </w:p>
    <w:p>
      <w:pPr>
        <w:pStyle w:val="BodyText"/>
        <w:numPr>
          <w:ilvl w:val="0"/>
          <w:numId w:val="3"/>
        </w:numPr>
        <w:tabs>
          <w:tab w:val="clear" w:pos="1134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绿色建筑</w:t>
      </w:r>
      <w:r>
        <w:rPr/>
        <w:t xml:space="preserve">：严格落实绿色建筑标准，扩大政府采购绿色建材范围，优先采购符合标准的绿色建材。 </w:t>
      </w:r>
    </w:p>
    <w:p>
      <w:pPr>
        <w:pStyle w:val="Heading4"/>
        <w:bidi w:val="0"/>
        <w:jc w:val="left"/>
        <w:rPr/>
      </w:pPr>
      <w:r>
        <w:rPr>
          <w:rStyle w:val="Strong"/>
          <w:b/>
          <w:bCs/>
        </w:rPr>
        <w:t xml:space="preserve">3. </w:t>
      </w:r>
      <w:r>
        <w:rPr>
          <w:rStyle w:val="Strong"/>
          <w:bCs/>
        </w:rPr>
        <w:t>科技创新赋能工程</w:t>
      </w:r>
    </w:p>
    <w:p>
      <w:pPr>
        <w:pStyle w:val="BodyText"/>
        <w:numPr>
          <w:ilvl w:val="0"/>
          <w:numId w:val="4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企业创新</w:t>
      </w:r>
      <w:r>
        <w:rPr/>
        <w:t xml:space="preserve">：优化省级企业技术中心评价，支持产学研合作，对纳入省科技计划项目给予财政支持。 </w:t>
      </w:r>
    </w:p>
    <w:p>
      <w:pPr>
        <w:pStyle w:val="BodyText"/>
        <w:numPr>
          <w:ilvl w:val="0"/>
          <w:numId w:val="4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数字融合</w:t>
      </w:r>
      <w:r>
        <w:rPr/>
        <w:t>：迭代升级“浙里建”系统，推进</w:t>
      </w:r>
      <w:r>
        <w:rPr/>
        <w:t>BIM</w:t>
      </w:r>
      <w:r>
        <w:rPr/>
        <w:t>技术全过程应用，探索</w:t>
      </w:r>
      <w:r>
        <w:rPr/>
        <w:t>BIM</w:t>
      </w:r>
      <w:r>
        <w:rPr/>
        <w:t>与</w:t>
      </w:r>
      <w:r>
        <w:rPr/>
        <w:t>CIM</w:t>
      </w:r>
      <w:r>
        <w:rPr/>
        <w:t xml:space="preserve">平台对接。 </w:t>
      </w:r>
    </w:p>
    <w:p>
      <w:pPr>
        <w:pStyle w:val="BodyText"/>
        <w:numPr>
          <w:ilvl w:val="0"/>
          <w:numId w:val="4"/>
        </w:numPr>
        <w:tabs>
          <w:tab w:val="clear" w:pos="1134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人才建设</w:t>
      </w:r>
      <w:r>
        <w:rPr/>
        <w:t xml:space="preserve">：培育建设领域工匠学院，推进建筑工人“双提升”，支持职业技能竞赛。 </w:t>
      </w:r>
    </w:p>
    <w:p>
      <w:pPr>
        <w:pStyle w:val="Heading4"/>
        <w:bidi w:val="0"/>
        <w:jc w:val="left"/>
        <w:rPr/>
      </w:pPr>
      <w:r>
        <w:rPr>
          <w:rStyle w:val="Strong"/>
          <w:b/>
          <w:bCs/>
        </w:rPr>
        <w:t xml:space="preserve">4. </w:t>
      </w:r>
      <w:r>
        <w:rPr>
          <w:rStyle w:val="Strong"/>
          <w:bCs/>
        </w:rPr>
        <w:t>营商环境优化工程</w:t>
      </w:r>
    </w:p>
    <w:p>
      <w:pPr>
        <w:pStyle w:val="BodyText"/>
        <w:numPr>
          <w:ilvl w:val="0"/>
          <w:numId w:val="5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招投标改革</w:t>
      </w:r>
      <w:r>
        <w:rPr/>
        <w:t xml:space="preserve">：统一招投标管理体制，优化评标办法，规范“评定分离”，强化标后履约监管。 </w:t>
      </w:r>
    </w:p>
    <w:p>
      <w:pPr>
        <w:pStyle w:val="BodyText"/>
        <w:numPr>
          <w:ilvl w:val="0"/>
          <w:numId w:val="5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统一大市场</w:t>
      </w:r>
      <w:r>
        <w:rPr/>
        <w:t xml:space="preserve">：清理妨碍统一市场的规章制度，建立信用评价体系，推动资质资格改革。 </w:t>
      </w:r>
    </w:p>
    <w:p>
      <w:pPr>
        <w:pStyle w:val="BodyText"/>
        <w:numPr>
          <w:ilvl w:val="0"/>
          <w:numId w:val="5"/>
        </w:numPr>
        <w:tabs>
          <w:tab w:val="clear" w:pos="1134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价款结算</w:t>
      </w:r>
      <w:r>
        <w:rPr/>
        <w:t xml:space="preserve">：推行无争议价款先行结算，鼓励供应链金融创新，降低保证金比例。 </w:t>
      </w:r>
    </w:p>
    <w:p>
      <w:pPr>
        <w:pStyle w:val="Heading4"/>
        <w:bidi w:val="0"/>
        <w:jc w:val="left"/>
        <w:rPr/>
      </w:pPr>
      <w:r>
        <w:rPr>
          <w:rStyle w:val="Strong"/>
          <w:b/>
          <w:bCs/>
        </w:rPr>
        <w:t xml:space="preserve">5. </w:t>
      </w:r>
      <w:r>
        <w:rPr>
          <w:rStyle w:val="Strong"/>
          <w:bCs/>
        </w:rPr>
        <w:t>服务保障优化工程</w:t>
      </w:r>
    </w:p>
    <w:p>
      <w:pPr>
        <w:pStyle w:val="BodyText"/>
        <w:numPr>
          <w:ilvl w:val="0"/>
          <w:numId w:val="6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金融服务</w:t>
      </w:r>
      <w:r>
        <w:rPr/>
        <w:t xml:space="preserve">：引导银行机构加强融资保障，创新供应链金融产品，匹配建筑业经营周期。 </w:t>
      </w:r>
    </w:p>
    <w:p>
      <w:pPr>
        <w:pStyle w:val="BodyText"/>
        <w:numPr>
          <w:ilvl w:val="0"/>
          <w:numId w:val="6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资金周转</w:t>
      </w:r>
      <w:r>
        <w:rPr/>
        <w:t xml:space="preserve">：最大限度为企业提供资金支持，缓解现金流压力。 </w:t>
      </w:r>
    </w:p>
    <w:p>
      <w:pPr>
        <w:pStyle w:val="BodyText"/>
        <w:numPr>
          <w:ilvl w:val="0"/>
          <w:numId w:val="6"/>
        </w:numPr>
        <w:tabs>
          <w:tab w:val="clear" w:pos="1134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司法保障</w:t>
      </w:r>
      <w:r>
        <w:rPr/>
        <w:t xml:space="preserve">：健全矛盾纠纷在线诉调机制，开设农民工工资案件“绿色通道”。 </w:t>
      </w:r>
    </w:p>
    <w:p>
      <w:pPr>
        <w:pStyle w:val="Heading2"/>
        <w:bidi w:val="0"/>
        <w:jc w:val="left"/>
        <w:rPr/>
      </w:pPr>
      <w:r>
        <w:rPr>
          <w:rStyle w:val="Strong"/>
          <w:bCs/>
        </w:rPr>
        <w:t>二、政策解读</w:t>
      </w:r>
    </w:p>
    <w:p>
      <w:pPr>
        <w:pStyle w:val="Heading3"/>
        <w:bidi w:val="0"/>
        <w:jc w:val="left"/>
        <w:rPr/>
      </w:pPr>
      <w:r>
        <w:rPr>
          <w:rStyle w:val="Strong"/>
          <w:bCs/>
        </w:rPr>
        <w:t>（一）制定背景</w:t>
      </w:r>
    </w:p>
    <w:p>
      <w:pPr>
        <w:pStyle w:val="BodyText"/>
        <w:numPr>
          <w:ilvl w:val="0"/>
          <w:numId w:val="7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行业地位</w:t>
      </w:r>
      <w:r>
        <w:rPr/>
        <w:t xml:space="preserve">：建筑业是浙江传统支柱产业，但面临发展瓶颈，需通过政策破局。 </w:t>
      </w:r>
    </w:p>
    <w:p>
      <w:pPr>
        <w:pStyle w:val="BodyText"/>
        <w:numPr>
          <w:ilvl w:val="0"/>
          <w:numId w:val="7"/>
        </w:numPr>
        <w:tabs>
          <w:tab w:val="clear" w:pos="1134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政策导向</w:t>
      </w:r>
      <w:r>
        <w:rPr/>
        <w:t xml:space="preserve">：贯彻民营企业座谈会精神，落实省委省政府决策部署，推动产业创新与科技融合。 </w:t>
      </w:r>
    </w:p>
    <w:p>
      <w:pPr>
        <w:pStyle w:val="Heading3"/>
        <w:bidi w:val="0"/>
        <w:jc w:val="left"/>
        <w:rPr/>
      </w:pPr>
      <w:r>
        <w:rPr>
          <w:rStyle w:val="Strong"/>
          <w:bCs/>
        </w:rPr>
        <w:t>（二）核心举措</w:t>
      </w:r>
    </w:p>
    <w:p>
      <w:pPr>
        <w:pStyle w:val="BodyText"/>
        <w:numPr>
          <w:ilvl w:val="0"/>
          <w:numId w:val="8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智能建造</w:t>
      </w:r>
      <w:r>
        <w:rPr/>
        <w:t>：</w:t>
      </w:r>
    </w:p>
    <w:p>
      <w:pPr>
        <w:pStyle w:val="BodyText"/>
        <w:numPr>
          <w:ilvl w:val="1"/>
          <w:numId w:val="8"/>
        </w:numPr>
        <w:tabs>
          <w:tab w:val="clear" w:pos="1134"/>
          <w:tab w:val="left" w:pos="1418" w:leader="none"/>
        </w:tabs>
        <w:bidi w:val="0"/>
        <w:spacing w:before="90" w:after="0"/>
        <w:ind w:hanging="283" w:left="1418"/>
        <w:jc w:val="left"/>
        <w:rPr/>
      </w:pPr>
      <w:r>
        <w:rPr/>
        <w:t>推广建筑机器人、</w:t>
      </w:r>
      <w:r>
        <w:rPr/>
        <w:t>BIM</w:t>
      </w:r>
      <w:r>
        <w:rPr/>
        <w:t xml:space="preserve">技术，打造智能建造产业园。 </w:t>
      </w:r>
    </w:p>
    <w:p>
      <w:pPr>
        <w:pStyle w:val="BodyText"/>
        <w:numPr>
          <w:ilvl w:val="1"/>
          <w:numId w:val="8"/>
        </w:numPr>
        <w:tabs>
          <w:tab w:val="clear" w:pos="1134"/>
          <w:tab w:val="left" w:pos="1418" w:leader="none"/>
        </w:tabs>
        <w:bidi w:val="0"/>
        <w:spacing w:before="90" w:after="0"/>
        <w:ind w:hanging="283" w:left="1418"/>
        <w:jc w:val="left"/>
        <w:rPr/>
      </w:pPr>
      <w:r>
        <w:rPr/>
        <w:t xml:space="preserve">培育试点企业、项目，予以信用激励。 </w:t>
      </w:r>
    </w:p>
    <w:p>
      <w:pPr>
        <w:pStyle w:val="BodyText"/>
        <w:numPr>
          <w:ilvl w:val="0"/>
          <w:numId w:val="8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绿色建筑</w:t>
      </w:r>
      <w:r>
        <w:rPr/>
        <w:t>：</w:t>
      </w:r>
    </w:p>
    <w:p>
      <w:pPr>
        <w:pStyle w:val="BodyText"/>
        <w:numPr>
          <w:ilvl w:val="1"/>
          <w:numId w:val="8"/>
        </w:numPr>
        <w:tabs>
          <w:tab w:val="clear" w:pos="1134"/>
          <w:tab w:val="left" w:pos="1418" w:leader="none"/>
        </w:tabs>
        <w:bidi w:val="0"/>
        <w:spacing w:before="90" w:after="0"/>
        <w:ind w:hanging="283" w:left="1418"/>
        <w:jc w:val="left"/>
        <w:rPr/>
      </w:pPr>
      <w:r>
        <w:rPr/>
        <w:t xml:space="preserve">强制新建建筑执行绿色标准，推广装配式建筑。 </w:t>
      </w:r>
    </w:p>
    <w:p>
      <w:pPr>
        <w:pStyle w:val="BodyText"/>
        <w:numPr>
          <w:ilvl w:val="1"/>
          <w:numId w:val="8"/>
        </w:numPr>
        <w:tabs>
          <w:tab w:val="clear" w:pos="1134"/>
          <w:tab w:val="left" w:pos="1418" w:leader="none"/>
        </w:tabs>
        <w:bidi w:val="0"/>
        <w:spacing w:before="90" w:after="0"/>
        <w:ind w:hanging="283" w:left="1418"/>
        <w:jc w:val="left"/>
        <w:rPr/>
      </w:pPr>
      <w:r>
        <w:rPr/>
        <w:t xml:space="preserve">扩大政府采购绿色建材范围，优先采购绿色建材。 </w:t>
      </w:r>
    </w:p>
    <w:p>
      <w:pPr>
        <w:pStyle w:val="BodyText"/>
        <w:numPr>
          <w:ilvl w:val="0"/>
          <w:numId w:val="8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金融支持</w:t>
      </w:r>
      <w:r>
        <w:rPr/>
        <w:t>：</w:t>
      </w:r>
    </w:p>
    <w:p>
      <w:pPr>
        <w:pStyle w:val="BodyText"/>
        <w:numPr>
          <w:ilvl w:val="1"/>
          <w:numId w:val="8"/>
        </w:numPr>
        <w:tabs>
          <w:tab w:val="clear" w:pos="1134"/>
          <w:tab w:val="left" w:pos="1418" w:leader="none"/>
        </w:tabs>
        <w:bidi w:val="0"/>
        <w:spacing w:before="90" w:after="0"/>
        <w:ind w:hanging="283" w:left="1418"/>
        <w:jc w:val="left"/>
        <w:rPr/>
      </w:pPr>
      <w:r>
        <w:rPr/>
        <w:t xml:space="preserve">提供融资保障，降低企业融资成本。 </w:t>
      </w:r>
    </w:p>
    <w:p>
      <w:pPr>
        <w:pStyle w:val="BodyText"/>
        <w:numPr>
          <w:ilvl w:val="1"/>
          <w:numId w:val="8"/>
        </w:numPr>
        <w:tabs>
          <w:tab w:val="clear" w:pos="1134"/>
          <w:tab w:val="left" w:pos="1418" w:leader="none"/>
        </w:tabs>
        <w:bidi w:val="0"/>
        <w:spacing w:before="90" w:after="0"/>
        <w:ind w:hanging="283" w:left="1418"/>
        <w:jc w:val="left"/>
        <w:rPr/>
      </w:pPr>
      <w:r>
        <w:rPr/>
        <w:t xml:space="preserve">鼓励创新供应链金融产品，匹配建筑业经营周期。 </w:t>
      </w:r>
    </w:p>
    <w:p>
      <w:pPr>
        <w:pStyle w:val="BodyText"/>
        <w:numPr>
          <w:ilvl w:val="0"/>
          <w:numId w:val="8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市场监管</w:t>
      </w:r>
      <w:r>
        <w:rPr/>
        <w:t>：</w:t>
      </w:r>
    </w:p>
    <w:p>
      <w:pPr>
        <w:pStyle w:val="BodyText"/>
        <w:numPr>
          <w:ilvl w:val="1"/>
          <w:numId w:val="8"/>
        </w:numPr>
        <w:tabs>
          <w:tab w:val="clear" w:pos="1134"/>
          <w:tab w:val="left" w:pos="1418" w:leader="none"/>
        </w:tabs>
        <w:bidi w:val="0"/>
        <w:spacing w:before="90" w:after="0"/>
        <w:ind w:hanging="283" w:left="1418"/>
        <w:jc w:val="left"/>
        <w:rPr/>
      </w:pPr>
      <w:r>
        <w:rPr/>
        <w:t xml:space="preserve">建立统一信用评价体系，打击违法违规行为。 </w:t>
      </w:r>
    </w:p>
    <w:p>
      <w:pPr>
        <w:pStyle w:val="BodyText"/>
        <w:numPr>
          <w:ilvl w:val="1"/>
          <w:numId w:val="8"/>
        </w:numPr>
        <w:tabs>
          <w:tab w:val="clear" w:pos="1134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规范招投标流程，强化标后履约监管。 </w:t>
      </w:r>
    </w:p>
    <w:p>
      <w:pPr>
        <w:pStyle w:val="Heading3"/>
        <w:bidi w:val="0"/>
        <w:jc w:val="left"/>
        <w:rPr/>
      </w:pPr>
      <w:r>
        <w:rPr>
          <w:rStyle w:val="Strong"/>
          <w:bCs/>
        </w:rPr>
        <w:t>（三）预期效果</w:t>
      </w:r>
    </w:p>
    <w:p>
      <w:pPr>
        <w:pStyle w:val="BodyText"/>
        <w:numPr>
          <w:ilvl w:val="0"/>
          <w:numId w:val="9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到</w:t>
      </w:r>
      <w:r>
        <w:rPr>
          <w:rStyle w:val="Strong"/>
        </w:rPr>
        <w:t>2027</w:t>
      </w:r>
      <w:r>
        <w:rPr>
          <w:rStyle w:val="Strong"/>
        </w:rPr>
        <w:t>年</w:t>
      </w:r>
      <w:r>
        <w:rPr/>
        <w:t>：建筑业增加值占</w:t>
      </w:r>
      <w:r>
        <w:rPr/>
        <w:t>GDP</w:t>
      </w:r>
      <w:r>
        <w:rPr/>
        <w:t xml:space="preserve">比例保持稳定，智能建造普及率显著提升。 </w:t>
      </w:r>
    </w:p>
    <w:p>
      <w:pPr>
        <w:pStyle w:val="BodyText"/>
        <w:numPr>
          <w:ilvl w:val="0"/>
          <w:numId w:val="9"/>
        </w:numPr>
        <w:tabs>
          <w:tab w:val="clear" w:pos="1134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到</w:t>
      </w:r>
      <w:r>
        <w:rPr>
          <w:rStyle w:val="Strong"/>
        </w:rPr>
        <w:t>2030</w:t>
      </w:r>
      <w:r>
        <w:rPr>
          <w:rStyle w:val="Strong"/>
        </w:rPr>
        <w:t>年</w:t>
      </w:r>
      <w:r>
        <w:rPr/>
        <w:t xml:space="preserve">：形成一批具有国际竞争力的建筑业企业，推动浙江从“建筑大省”向“建筑强省”跨越。 </w:t>
      </w:r>
    </w:p>
    <w:p>
      <w:pPr>
        <w:pStyle w:val="Heading3"/>
        <w:bidi w:val="0"/>
        <w:jc w:val="left"/>
        <w:rPr/>
      </w:pPr>
      <w:r>
        <w:rPr>
          <w:rStyle w:val="Strong"/>
          <w:bCs/>
        </w:rPr>
        <w:t>（四）实施保障</w:t>
      </w:r>
    </w:p>
    <w:p>
      <w:pPr>
        <w:pStyle w:val="BodyText"/>
        <w:numPr>
          <w:ilvl w:val="0"/>
          <w:numId w:val="10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组织保障</w:t>
      </w:r>
      <w:r>
        <w:rPr/>
        <w:t xml:space="preserve">：各市、县政府及省级部门落实责任，形成合力。 </w:t>
      </w:r>
    </w:p>
    <w:p>
      <w:pPr>
        <w:pStyle w:val="BodyText"/>
        <w:numPr>
          <w:ilvl w:val="0"/>
          <w:numId w:val="10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资金保障</w:t>
      </w:r>
      <w:r>
        <w:rPr/>
        <w:t xml:space="preserve">：统筹省级资金支持建筑工业化基地、科创平台建设。 </w:t>
      </w:r>
    </w:p>
    <w:p>
      <w:pPr>
        <w:pStyle w:val="BodyText"/>
        <w:numPr>
          <w:ilvl w:val="0"/>
          <w:numId w:val="10"/>
        </w:numPr>
        <w:tabs>
          <w:tab w:val="clear" w:pos="1134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监督考核</w:t>
      </w:r>
      <w:r>
        <w:rPr/>
        <w:t xml:space="preserve">：将建筑业高质量发展纳入地方政府考核，确保政策落地。 </w:t>
      </w:r>
    </w:p>
    <w:p>
      <w:pPr>
        <w:pStyle w:val="Heading2"/>
        <w:bidi w:val="0"/>
        <w:jc w:val="left"/>
        <w:rPr/>
      </w:pPr>
      <w:r>
        <w:rPr>
          <w:rStyle w:val="Strong"/>
          <w:bCs/>
        </w:rPr>
        <w:t>三、政策文件获取</w:t>
      </w:r>
    </w:p>
    <w:p>
      <w:pPr>
        <w:pStyle w:val="BodyText"/>
        <w:numPr>
          <w:ilvl w:val="0"/>
          <w:numId w:val="11"/>
        </w:numPr>
        <w:tabs>
          <w:tab w:val="clear" w:pos="1134"/>
          <w:tab w:val="left" w:pos="709" w:leader="none"/>
        </w:tabs>
        <w:bidi w:val="0"/>
        <w:spacing w:before="90" w:after="0"/>
        <w:ind w:hanging="283" w:left="709"/>
        <w:jc w:val="left"/>
        <w:rPr/>
      </w:pPr>
      <w:r>
        <w:rPr>
          <w:rStyle w:val="Strong"/>
        </w:rPr>
        <w:t>原文及解读</w:t>
      </w:r>
      <w:r>
        <w:rPr/>
        <w:t>：可访问浙江省人民政府官网（</w:t>
      </w:r>
      <w:hyperlink r:id="rId2">
        <w:r>
          <w:rPr>
            <w:rStyle w:val="Hyperlink"/>
          </w:rPr>
          <w:t>www.zj.gov.cn</w:t>
        </w:r>
      </w:hyperlink>
      <w:r>
        <w:rPr/>
        <w:t>）查阅《浙江省人民政府办公厅关于加快推进建筑业高质量发展的若干意见》（浙政办发〔</w:t>
      </w:r>
      <w:r>
        <w:rPr/>
        <w:t>2025</w:t>
      </w:r>
      <w:r>
        <w:rPr/>
        <w:t>〕</w:t>
      </w:r>
      <w:r>
        <w:rPr/>
        <w:t>22</w:t>
      </w:r>
      <w:r>
        <w:rPr/>
        <w:t xml:space="preserve">号）及政策解读。 </w:t>
      </w:r>
    </w:p>
    <w:p>
      <w:pPr>
        <w:pStyle w:val="BodyText"/>
        <w:numPr>
          <w:ilvl w:val="0"/>
          <w:numId w:val="11"/>
        </w:numPr>
        <w:tabs>
          <w:tab w:val="clear" w:pos="1134"/>
          <w:tab w:val="left" w:pos="709" w:leader="none"/>
        </w:tabs>
        <w:bidi w:val="0"/>
        <w:spacing w:before="90" w:after="210"/>
        <w:ind w:hanging="283" w:left="709"/>
        <w:jc w:val="left"/>
        <w:rPr/>
      </w:pPr>
      <w:r>
        <w:rPr>
          <w:rStyle w:val="Strong"/>
        </w:rPr>
        <w:t>附件内容</w:t>
      </w:r>
      <w:r>
        <w:rPr/>
        <w:t xml:space="preserve">：包括智能建造技术产品应用目录、绿色建材产品标准等，可在官网下载。 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600" w:charSpace="38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oto Sans">
    <w:charset w:val="00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view w:val="web"/>
  <w:zoom w:percent="100"/>
  <w:defaultTabStop w:val="1134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Zen Hei" w:cs="Noto Sans Devanagari"/>
      <w:color w:val="auto"/>
      <w:sz w:val="21"/>
      <w:szCs w:val="21"/>
      <w:lang w:val="en-US" w:eastAsia="zh-CN" w:bidi="hi-IN"/>
    </w:rPr>
  </w:style>
  <w:style w:type="paragraph" w:styleId="Heading1">
    <w:name w:val="heading 1"/>
    <w:basedOn w:val="Heading"/>
    <w:next w:val="BodyText"/>
    <w:qFormat/>
    <w:pPr/>
    <w:rPr>
      <w:rFonts w:ascii="Noto Sans" w:hAnsi="Noto Sans"/>
      <w:b/>
      <w:bCs/>
      <w:sz w:val="48"/>
      <w:szCs w:val="44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WenQuanYi Zen Hei" w:cs="Noto Sans Devanagari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WenQuanYi Zen Hei" w:cs="Noto Sans Devanagari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WenQuanYi Zen Hei" w:cs="Noto Sans Devanagari"/>
      <w:b/>
      <w:bCs/>
      <w:sz w:val="24"/>
      <w:szCs w:val="2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pPr/>
    <w:rPr>
      <w:i/>
    </w:rPr>
  </w:style>
  <w:style w:type="paragraph" w:styleId="TableContents">
    <w:name w:val="Table Contents"/>
    <w:basedOn w:val="BodyText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BodyText">
    <w:name w:val="Body Text"/>
    <w:basedOn w:val="Normal"/>
    <w:pPr>
      <w:spacing w:before="90" w:after="210"/>
    </w:pPr>
    <w:rPr/>
  </w:style>
  <w:style w:type="paragraph" w:styleId="Heading">
    <w:name w:val="Heading"/>
    <w:basedOn w:val="Normal"/>
    <w:next w:val="BodyText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j.gov.cn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LibreOffice/24.8.4.2$Linux_X86_64 LibreOffice_project/480$Build-2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